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3C3C3C"/>
          <w:sz w:val="40"/>
          <w:szCs w:val="40"/>
          <w:lang w:eastAsia="ru-RU"/>
        </w:rPr>
        <w:t>Материнский капитал – папе.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C3C3C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3C3C3C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HelveticaNeueCyr-Roman" w:hAnsi="HelveticaNeueCyr-Roman"/>
          <w:color w:val="000000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HelveticaNeueCyr-Roman" w:hAnsi="HelveticaNeueCyr-Roman"/>
          <w:color w:val="000000"/>
          <w:sz w:val="27"/>
          <w:szCs w:val="27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оформления сертификата на материнский семейный капитал отцу потребуются 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удостоверяющие личность, место жительства (пребывания) или фактического проживания;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подтверждающие рождение (усыновление) детей;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    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Web"/>
        <w:spacing w:lineRule="auto" w:line="240" w:beforeAutospacing="0" w:before="0" w:afterAutospacing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>Вопросы по телефону (81363)23412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headerReference w:type="default" r:id="rId2"/>
      <w:type w:val="nextPage"/>
      <w:pgSz w:w="11906" w:h="16838"/>
      <w:pgMar w:left="1701" w:right="850" w:header="680" w:top="963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NeueCyr-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d31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2019-01-10T16:36:00Z</dcterms:created>
  <dc:creator>Андрей Иванов</dc:creator>
  <dc:language>ru-RU</dc:language>
  <dcterms:modified xsi:type="dcterms:W3CDTF">2021-02-01T13:09:31Z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