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537E" w:rsidRDefault="00257D1A" w:rsidP="00257D1A">
      <w:pPr>
        <w:pStyle w:val="a5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</w:t>
      </w:r>
      <w:r w:rsidR="00D82C0F">
        <w:rPr>
          <w:b/>
          <w:sz w:val="28"/>
          <w:szCs w:val="28"/>
        </w:rPr>
        <w:t xml:space="preserve">                          </w:t>
      </w:r>
      <w:r w:rsidR="000E43B7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71525" cy="962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20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2C0F">
        <w:rPr>
          <w:b/>
          <w:sz w:val="28"/>
          <w:szCs w:val="28"/>
        </w:rPr>
        <w:t xml:space="preserve">      </w:t>
      </w:r>
    </w:p>
    <w:p w:rsidR="0086537E" w:rsidRDefault="0086537E" w:rsidP="00E15F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муниципального образования</w:t>
      </w:r>
      <w:r>
        <w:rPr>
          <w:b/>
          <w:sz w:val="32"/>
          <w:szCs w:val="32"/>
        </w:rPr>
        <w:br/>
      </w:r>
      <w:r w:rsidR="00CC3FDB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Кисельнинское сельское поселение</w:t>
      </w:r>
      <w:r w:rsidR="00CC3FDB">
        <w:rPr>
          <w:b/>
          <w:sz w:val="32"/>
          <w:szCs w:val="32"/>
        </w:rPr>
        <w:t>»</w:t>
      </w:r>
    </w:p>
    <w:p w:rsidR="0086537E" w:rsidRDefault="0086537E" w:rsidP="00E15F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Волховского муниципального района </w:t>
      </w:r>
      <w:r>
        <w:rPr>
          <w:b/>
          <w:sz w:val="32"/>
          <w:szCs w:val="32"/>
        </w:rPr>
        <w:br/>
        <w:t>Ленинградской области</w:t>
      </w:r>
    </w:p>
    <w:p w:rsidR="0086537E" w:rsidRDefault="0086537E" w:rsidP="00E15FA3">
      <w:pPr>
        <w:jc w:val="center"/>
        <w:rPr>
          <w:b/>
          <w:color w:val="FF0000"/>
          <w:sz w:val="28"/>
          <w:szCs w:val="28"/>
        </w:rPr>
      </w:pPr>
      <w:r>
        <w:rPr>
          <w:b/>
          <w:sz w:val="32"/>
          <w:szCs w:val="32"/>
        </w:rPr>
        <w:t>третьего созыва</w:t>
      </w:r>
    </w:p>
    <w:p w:rsidR="0086537E" w:rsidRDefault="0086537E">
      <w:pPr>
        <w:jc w:val="center"/>
        <w:rPr>
          <w:b/>
          <w:color w:val="FF0000"/>
          <w:sz w:val="28"/>
          <w:szCs w:val="28"/>
        </w:rPr>
      </w:pPr>
    </w:p>
    <w:p w:rsidR="0086537E" w:rsidRDefault="008653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РЕШЕНИЕ</w:t>
      </w:r>
    </w:p>
    <w:p w:rsidR="0086537E" w:rsidRDefault="0086537E">
      <w:pPr>
        <w:jc w:val="center"/>
        <w:rPr>
          <w:b/>
          <w:sz w:val="28"/>
          <w:szCs w:val="28"/>
          <w:u w:val="single"/>
        </w:rPr>
      </w:pPr>
    </w:p>
    <w:p w:rsidR="0086537E" w:rsidRDefault="0086537E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 </w:t>
      </w:r>
      <w:r w:rsidR="00257D1A">
        <w:rPr>
          <w:sz w:val="28"/>
          <w:szCs w:val="28"/>
          <w:u w:val="single"/>
        </w:rPr>
        <w:t xml:space="preserve">24 </w:t>
      </w:r>
      <w:r w:rsidR="00783EBF">
        <w:rPr>
          <w:sz w:val="28"/>
          <w:szCs w:val="28"/>
          <w:u w:val="single"/>
        </w:rPr>
        <w:t xml:space="preserve"> </w:t>
      </w:r>
      <w:r w:rsidR="009D2F88">
        <w:rPr>
          <w:sz w:val="28"/>
          <w:szCs w:val="28"/>
          <w:u w:val="single"/>
        </w:rPr>
        <w:t>декабря</w:t>
      </w:r>
      <w:r>
        <w:rPr>
          <w:sz w:val="28"/>
          <w:szCs w:val="28"/>
          <w:u w:val="single"/>
        </w:rPr>
        <w:t xml:space="preserve">  201</w:t>
      </w:r>
      <w:r w:rsidR="00E15FA3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 года    №</w:t>
      </w:r>
      <w:r w:rsidR="00257D1A">
        <w:rPr>
          <w:sz w:val="28"/>
          <w:szCs w:val="28"/>
          <w:u w:val="single"/>
        </w:rPr>
        <w:t xml:space="preserve"> 37</w:t>
      </w:r>
      <w:r>
        <w:rPr>
          <w:sz w:val="28"/>
          <w:szCs w:val="28"/>
          <w:u w:val="single"/>
        </w:rPr>
        <w:t xml:space="preserve">  </w:t>
      </w:r>
    </w:p>
    <w:p w:rsidR="0086537E" w:rsidRDefault="0086537E">
      <w:pPr>
        <w:rPr>
          <w:sz w:val="28"/>
          <w:szCs w:val="28"/>
        </w:rPr>
      </w:pPr>
    </w:p>
    <w:p w:rsidR="0086537E" w:rsidRDefault="0086537E">
      <w:pPr>
        <w:rPr>
          <w:sz w:val="28"/>
          <w:szCs w:val="28"/>
        </w:rPr>
      </w:pPr>
    </w:p>
    <w:p w:rsidR="0086537E" w:rsidRDefault="0086537E">
      <w:pPr>
        <w:pStyle w:val="1"/>
        <w:jc w:val="center"/>
      </w:pPr>
      <w:r>
        <w:rPr>
          <w:b/>
        </w:rPr>
        <w:t xml:space="preserve">Об установлении и введении в действие земельного налога на территории муниципального образования </w:t>
      </w:r>
      <w:r w:rsidR="00CC3FDB">
        <w:rPr>
          <w:b/>
        </w:rPr>
        <w:t>«</w:t>
      </w:r>
      <w:r>
        <w:rPr>
          <w:b/>
        </w:rPr>
        <w:t>Кисельнинское сельское поселение</w:t>
      </w:r>
      <w:r w:rsidR="00CC3FDB">
        <w:rPr>
          <w:b/>
        </w:rPr>
        <w:t>»</w:t>
      </w:r>
      <w:r>
        <w:rPr>
          <w:b/>
        </w:rPr>
        <w:t xml:space="preserve"> Волховского муниципального района Ленинградской области </w:t>
      </w:r>
    </w:p>
    <w:p w:rsidR="0086537E" w:rsidRDefault="0086537E"/>
    <w:p w:rsidR="0086537E" w:rsidRDefault="0086537E"/>
    <w:p w:rsidR="00E15FA3" w:rsidRDefault="0086537E">
      <w:pPr>
        <w:pStyle w:val="BodyText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6 октября 2003 № 131-ФЗ «Об общих принципах организации местного самоуправления в Российской Федерации», Уставом муниципального образования </w:t>
      </w:r>
      <w:r w:rsidR="00CC3FDB">
        <w:rPr>
          <w:sz w:val="28"/>
          <w:szCs w:val="28"/>
        </w:rPr>
        <w:t>«</w:t>
      </w:r>
      <w:r>
        <w:rPr>
          <w:sz w:val="28"/>
          <w:szCs w:val="28"/>
        </w:rPr>
        <w:t>Кисельнинское сельское поселение</w:t>
      </w:r>
      <w:r w:rsidR="00CC3FDB">
        <w:rPr>
          <w:sz w:val="28"/>
          <w:szCs w:val="28"/>
        </w:rPr>
        <w:t>»</w:t>
      </w:r>
      <w:r>
        <w:rPr>
          <w:sz w:val="28"/>
          <w:szCs w:val="28"/>
        </w:rPr>
        <w:t xml:space="preserve"> Волховского муниципального района Ленинградской области, Совет депутатов муниципального образования Кисельнинское сельское поселение Волховского муниципального района Ленинградской области третьего созыва </w:t>
      </w:r>
    </w:p>
    <w:p w:rsidR="0086537E" w:rsidRDefault="0086537E" w:rsidP="00E15FA3">
      <w:pPr>
        <w:pStyle w:val="BodyText2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6537E" w:rsidRDefault="00E15FA3">
      <w:pPr>
        <w:pStyle w:val="BodyText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6537E">
        <w:rPr>
          <w:sz w:val="28"/>
          <w:szCs w:val="28"/>
        </w:rPr>
        <w:t xml:space="preserve">1. Установить и ввести в действие на территории муниципального образования </w:t>
      </w:r>
      <w:r w:rsidR="00CC3FDB">
        <w:rPr>
          <w:sz w:val="28"/>
          <w:szCs w:val="28"/>
        </w:rPr>
        <w:t>«</w:t>
      </w:r>
      <w:r w:rsidR="0086537E">
        <w:rPr>
          <w:sz w:val="28"/>
          <w:szCs w:val="28"/>
        </w:rPr>
        <w:t>Кисельнинское сельское поселение</w:t>
      </w:r>
      <w:r w:rsidR="00CC3FDB">
        <w:rPr>
          <w:sz w:val="28"/>
          <w:szCs w:val="28"/>
        </w:rPr>
        <w:t>»</w:t>
      </w:r>
      <w:r w:rsidR="0086537E">
        <w:rPr>
          <w:sz w:val="28"/>
          <w:szCs w:val="28"/>
        </w:rPr>
        <w:t xml:space="preserve"> Волховского муниципального района Ленинградской области земельный налог</w:t>
      </w:r>
      <w:r>
        <w:rPr>
          <w:sz w:val="28"/>
          <w:szCs w:val="28"/>
        </w:rPr>
        <w:t xml:space="preserve">, </w:t>
      </w:r>
      <w:r w:rsidRPr="00E15FA3">
        <w:rPr>
          <w:sz w:val="28"/>
          <w:szCs w:val="28"/>
        </w:rPr>
        <w:t>определить налоговые ставки земельного налога, порядок и сроки уплаты налога,</w:t>
      </w:r>
      <w:r>
        <w:rPr>
          <w:sz w:val="28"/>
          <w:szCs w:val="28"/>
        </w:rPr>
        <w:t xml:space="preserve"> авансового платежа по налогу, </w:t>
      </w:r>
      <w:r w:rsidRPr="00E15FA3">
        <w:rPr>
          <w:sz w:val="28"/>
          <w:szCs w:val="28"/>
        </w:rPr>
        <w:t>налоговые льготы, основание и порядок их применения.</w:t>
      </w:r>
      <w:r>
        <w:rPr>
          <w:sz w:val="28"/>
          <w:szCs w:val="28"/>
        </w:rPr>
        <w:t xml:space="preserve"> </w:t>
      </w:r>
    </w:p>
    <w:p w:rsidR="0086537E" w:rsidRDefault="00E15FA3">
      <w:pPr>
        <w:pStyle w:val="BodyText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B5E8E">
        <w:rPr>
          <w:sz w:val="28"/>
          <w:szCs w:val="28"/>
        </w:rPr>
        <w:t>2</w:t>
      </w:r>
      <w:r w:rsidR="0086537E">
        <w:rPr>
          <w:sz w:val="28"/>
          <w:szCs w:val="28"/>
        </w:rPr>
        <w:t xml:space="preserve">. Установить налоговые ставки </w:t>
      </w:r>
      <w:r w:rsidRPr="00E15FA3">
        <w:rPr>
          <w:sz w:val="28"/>
          <w:szCs w:val="28"/>
        </w:rPr>
        <w:t xml:space="preserve">от кадастровой стоимости земельных участков, признаваемых объектом налогообложения в следующих размерах: </w:t>
      </w:r>
    </w:p>
    <w:p w:rsidR="0086537E" w:rsidRDefault="00E15FA3" w:rsidP="00E15FA3">
      <w:pPr>
        <w:pStyle w:val="BodyText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</w:t>
      </w:r>
      <w:r w:rsidR="0086537E">
        <w:rPr>
          <w:sz w:val="28"/>
          <w:szCs w:val="28"/>
        </w:rPr>
        <w:t xml:space="preserve"> </w:t>
      </w:r>
      <w:r w:rsidR="0086537E">
        <w:rPr>
          <w:b/>
          <w:sz w:val="28"/>
          <w:szCs w:val="28"/>
        </w:rPr>
        <w:t>0,3</w:t>
      </w:r>
      <w:r w:rsidR="0086537E">
        <w:rPr>
          <w:sz w:val="28"/>
          <w:szCs w:val="28"/>
        </w:rPr>
        <w:t xml:space="preserve"> процента в отношении земельных участков:</w:t>
      </w:r>
    </w:p>
    <w:p w:rsidR="0086537E" w:rsidRDefault="0086537E">
      <w:pPr>
        <w:pStyle w:val="BodyText2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отнесённых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86537E" w:rsidRDefault="0086537E">
      <w:pPr>
        <w:pStyle w:val="BodyText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</w:t>
      </w:r>
      <w:r w:rsidR="000455D2">
        <w:rPr>
          <w:sz w:val="28"/>
          <w:szCs w:val="28"/>
        </w:rPr>
        <w:t xml:space="preserve">индивидуального </w:t>
      </w:r>
      <w:r>
        <w:rPr>
          <w:sz w:val="28"/>
          <w:szCs w:val="28"/>
        </w:rPr>
        <w:t>жилищного строительства;</w:t>
      </w:r>
    </w:p>
    <w:p w:rsidR="0086537E" w:rsidRDefault="0086537E">
      <w:pPr>
        <w:spacing w:before="150" w:after="15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приобретенных (предоставленных) для личного подсобного хозяйства, садоводства, огородничества или животноводства, а также дачного хозяйства или животноводства;</w:t>
      </w:r>
    </w:p>
    <w:p w:rsidR="0086537E" w:rsidRDefault="0086537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-ограниченных в обороте в соответствии с </w:t>
      </w:r>
      <w:hyperlink r:id="rId8" w:history="1">
        <w:r w:rsidRPr="00257D1A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Pr="00257D1A">
        <w:rPr>
          <w:sz w:val="28"/>
          <w:szCs w:val="28"/>
        </w:rPr>
        <w:t xml:space="preserve"> Р</w:t>
      </w:r>
      <w:r>
        <w:rPr>
          <w:sz w:val="28"/>
          <w:szCs w:val="28"/>
        </w:rPr>
        <w:t>оссийской Федерации, предоставленных для обеспечения обороны, безопасности и таможенных нужд.</w:t>
      </w:r>
    </w:p>
    <w:p w:rsidR="0086537E" w:rsidRDefault="00E15FA3" w:rsidP="00E15F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86537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6537E">
        <w:rPr>
          <w:sz w:val="28"/>
          <w:szCs w:val="28"/>
        </w:rPr>
        <w:t xml:space="preserve"> </w:t>
      </w:r>
      <w:r w:rsidR="0086537E">
        <w:rPr>
          <w:b/>
          <w:sz w:val="28"/>
          <w:szCs w:val="28"/>
        </w:rPr>
        <w:t>1,5</w:t>
      </w:r>
      <w:r w:rsidR="0086537E">
        <w:rPr>
          <w:sz w:val="28"/>
          <w:szCs w:val="28"/>
        </w:rPr>
        <w:t xml:space="preserve"> процента в отношении прочих земельных участков.</w:t>
      </w:r>
    </w:p>
    <w:p w:rsidR="00E15FA3" w:rsidRPr="00E15FA3" w:rsidRDefault="00E15FA3" w:rsidP="00E15FA3">
      <w:pPr>
        <w:pStyle w:val="BodyText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15FA3">
        <w:rPr>
          <w:sz w:val="28"/>
          <w:szCs w:val="28"/>
        </w:rPr>
        <w:t>3. Налог и авансовые платежи по налогу подлежат уплате налогоплательщиками в следующем порядке и сроки:</w:t>
      </w:r>
    </w:p>
    <w:p w:rsidR="00E15FA3" w:rsidRPr="00E15FA3" w:rsidRDefault="00E15FA3" w:rsidP="00E15FA3">
      <w:pPr>
        <w:pStyle w:val="BodyText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15FA3">
        <w:rPr>
          <w:sz w:val="28"/>
          <w:szCs w:val="28"/>
        </w:rPr>
        <w:t>3.1.  Авансовые платежи по налогу уплачиваются:</w:t>
      </w:r>
    </w:p>
    <w:p w:rsidR="00E15FA3" w:rsidRPr="00E15FA3" w:rsidRDefault="00FB5974" w:rsidP="00E15FA3">
      <w:pPr>
        <w:pStyle w:val="BodyText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15FA3" w:rsidRPr="00E15FA3">
        <w:rPr>
          <w:sz w:val="28"/>
          <w:szCs w:val="28"/>
        </w:rPr>
        <w:t>налогоплательщиками-организациями не позднее последнего числа месяца</w:t>
      </w:r>
      <w:r>
        <w:rPr>
          <w:sz w:val="28"/>
          <w:szCs w:val="28"/>
        </w:rPr>
        <w:t>,</w:t>
      </w:r>
      <w:r w:rsidR="00E15FA3" w:rsidRPr="00E15FA3">
        <w:rPr>
          <w:sz w:val="28"/>
          <w:szCs w:val="28"/>
        </w:rPr>
        <w:t xml:space="preserve"> следующего за отчетным периодом (30 апреля, 31 июля, 31 октября),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E15FA3" w:rsidRPr="00E15FA3" w:rsidRDefault="00E15FA3" w:rsidP="00E15FA3">
      <w:pPr>
        <w:pStyle w:val="BodyText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15FA3">
        <w:rPr>
          <w:sz w:val="28"/>
          <w:szCs w:val="28"/>
        </w:rPr>
        <w:t>3.2.  Налог уплачивается:</w:t>
      </w:r>
    </w:p>
    <w:p w:rsidR="00E15FA3" w:rsidRPr="00E15FA3" w:rsidRDefault="00FB5974" w:rsidP="00E15FA3">
      <w:pPr>
        <w:pStyle w:val="BodyText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15FA3" w:rsidRPr="00E15FA3">
        <w:rPr>
          <w:sz w:val="28"/>
          <w:szCs w:val="28"/>
        </w:rPr>
        <w:t>налогоплательщиками-организациями в срок не позднее 1 февраля года, следующего за истекшим налоговым периодом;</w:t>
      </w:r>
    </w:p>
    <w:p w:rsidR="00E15FA3" w:rsidRDefault="00FB5974" w:rsidP="00E15FA3">
      <w:pPr>
        <w:pStyle w:val="BodyText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15FA3" w:rsidRPr="00E15FA3">
        <w:rPr>
          <w:sz w:val="28"/>
          <w:szCs w:val="28"/>
        </w:rPr>
        <w:t>налогоплательщиками – физическими лицами, в срок, установленный пунктом 1 статьи 397 Налогового кодекса Российской Федерации.</w:t>
      </w:r>
    </w:p>
    <w:p w:rsidR="0086537E" w:rsidRDefault="00FB5974">
      <w:pPr>
        <w:pStyle w:val="BodyText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15FA3">
        <w:rPr>
          <w:sz w:val="28"/>
          <w:szCs w:val="28"/>
        </w:rPr>
        <w:t xml:space="preserve">4. </w:t>
      </w:r>
      <w:r w:rsidR="0086537E">
        <w:rPr>
          <w:sz w:val="28"/>
          <w:szCs w:val="28"/>
        </w:rPr>
        <w:t>Освободить от уплаты земельного налога:</w:t>
      </w:r>
    </w:p>
    <w:p w:rsidR="0086537E" w:rsidRDefault="00FB5974" w:rsidP="00FB5974">
      <w:pPr>
        <w:pStyle w:val="BodyText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="0086537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6537E">
        <w:rPr>
          <w:sz w:val="28"/>
          <w:szCs w:val="28"/>
        </w:rPr>
        <w:t xml:space="preserve"> учреждения социальной и культурной сферы (учреждения здравоохранения, образования, культуры, спорта),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86537E" w:rsidRDefault="00FB5974" w:rsidP="00FB5974">
      <w:pPr>
        <w:pStyle w:val="BodyText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4.2. </w:t>
      </w:r>
      <w:r w:rsidR="0086537E">
        <w:rPr>
          <w:sz w:val="28"/>
          <w:szCs w:val="28"/>
        </w:rPr>
        <w:t xml:space="preserve">органы местного самоуправления муниципального образования </w:t>
      </w:r>
      <w:r w:rsidR="00CC3FDB">
        <w:rPr>
          <w:sz w:val="28"/>
          <w:szCs w:val="28"/>
        </w:rPr>
        <w:t>«</w:t>
      </w:r>
      <w:r w:rsidR="0086537E">
        <w:rPr>
          <w:sz w:val="28"/>
          <w:szCs w:val="28"/>
        </w:rPr>
        <w:t>Кисельнинское сельское поселение</w:t>
      </w:r>
      <w:r w:rsidR="00CC3FDB">
        <w:rPr>
          <w:sz w:val="28"/>
          <w:szCs w:val="28"/>
        </w:rPr>
        <w:t>»</w:t>
      </w:r>
      <w:r w:rsidR="0086537E">
        <w:rPr>
          <w:sz w:val="28"/>
          <w:szCs w:val="28"/>
        </w:rPr>
        <w:t xml:space="preserve"> Волховского муниципального района Ленинградской области и созданные ими муниципальные учреждения, финансируемые за счет местного бюджета, в отношении земельных участков, используемых для выполнения возложенных на них функций.</w:t>
      </w:r>
    </w:p>
    <w:p w:rsidR="00E15FA3" w:rsidRPr="00E15FA3" w:rsidRDefault="00FB5974" w:rsidP="00E15FA3">
      <w:pPr>
        <w:pStyle w:val="BodyText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86537E">
        <w:rPr>
          <w:sz w:val="28"/>
          <w:szCs w:val="28"/>
        </w:rPr>
        <w:t xml:space="preserve">. </w:t>
      </w:r>
      <w:r w:rsidR="00E15FA3" w:rsidRPr="00E15FA3">
        <w:rPr>
          <w:sz w:val="28"/>
          <w:szCs w:val="28"/>
        </w:rPr>
        <w:t>Предоставить льготу по уплате земельного налога следующим категориям налогоплательщиков:</w:t>
      </w:r>
    </w:p>
    <w:p w:rsidR="0086537E" w:rsidRDefault="00FB5974" w:rsidP="00E15FA3">
      <w:pPr>
        <w:pStyle w:val="BodyText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15FA3" w:rsidRPr="00E15FA3">
        <w:rPr>
          <w:sz w:val="28"/>
          <w:szCs w:val="28"/>
        </w:rPr>
        <w:t>-Многодетным семьям в виде уменьшени</w:t>
      </w:r>
      <w:r w:rsidR="00C648DF">
        <w:rPr>
          <w:sz w:val="28"/>
          <w:szCs w:val="28"/>
        </w:rPr>
        <w:t>я</w:t>
      </w:r>
      <w:r w:rsidR="00E15FA3" w:rsidRPr="00E15FA3">
        <w:rPr>
          <w:sz w:val="28"/>
          <w:szCs w:val="28"/>
        </w:rPr>
        <w:t xml:space="preserve"> суммы налога в размере 50% в отношении одного земельного участка, находящегося в пределах границ муниципального образования «Кисельнинское сельское поселение» и не используемого ими в предпринимательской деятельности</w:t>
      </w:r>
      <w:r>
        <w:rPr>
          <w:sz w:val="28"/>
          <w:szCs w:val="28"/>
        </w:rPr>
        <w:t>.</w:t>
      </w:r>
    </w:p>
    <w:p w:rsidR="00FB5974" w:rsidRDefault="00FB5974" w:rsidP="00E15FA3">
      <w:pPr>
        <w:pStyle w:val="BodyText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B5974">
        <w:rPr>
          <w:sz w:val="28"/>
          <w:szCs w:val="28"/>
        </w:rPr>
        <w:t>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86537E" w:rsidRPr="00FB5974" w:rsidRDefault="00FB5974">
      <w:pPr>
        <w:pStyle w:val="BodyText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B5E8E">
        <w:rPr>
          <w:sz w:val="28"/>
          <w:szCs w:val="28"/>
        </w:rPr>
        <w:t xml:space="preserve"> </w:t>
      </w:r>
      <w:r w:rsidR="00FB5E8E" w:rsidRPr="00FB5974">
        <w:rPr>
          <w:sz w:val="28"/>
          <w:szCs w:val="28"/>
        </w:rPr>
        <w:t>6</w:t>
      </w:r>
      <w:r w:rsidR="0086537E" w:rsidRPr="00FB5974">
        <w:rPr>
          <w:sz w:val="28"/>
          <w:szCs w:val="28"/>
        </w:rPr>
        <w:t>. Иные элементы налогообложения по земельному налогу определяются главой 31 Налогового Кодекса Российской Федерации.</w:t>
      </w:r>
    </w:p>
    <w:p w:rsidR="009D2F88" w:rsidRDefault="00FB5974" w:rsidP="009D2F88">
      <w:pPr>
        <w:pStyle w:val="BodyText2"/>
        <w:jc w:val="both"/>
        <w:rPr>
          <w:sz w:val="28"/>
          <w:szCs w:val="28"/>
        </w:rPr>
      </w:pPr>
      <w:r w:rsidRPr="009D2F88">
        <w:rPr>
          <w:sz w:val="28"/>
          <w:szCs w:val="28"/>
        </w:rPr>
        <w:t xml:space="preserve">     </w:t>
      </w:r>
      <w:r w:rsidR="00FB5E8E" w:rsidRPr="009D2F88">
        <w:rPr>
          <w:sz w:val="28"/>
          <w:szCs w:val="28"/>
        </w:rPr>
        <w:t>7</w:t>
      </w:r>
      <w:r w:rsidR="0086537E" w:rsidRPr="009D2F88">
        <w:rPr>
          <w:sz w:val="28"/>
          <w:szCs w:val="28"/>
        </w:rPr>
        <w:t xml:space="preserve">. </w:t>
      </w:r>
      <w:r w:rsidR="00F678D2" w:rsidRPr="009D2F88">
        <w:rPr>
          <w:sz w:val="28"/>
          <w:szCs w:val="28"/>
        </w:rPr>
        <w:t>П</w:t>
      </w:r>
      <w:r w:rsidR="0086537E" w:rsidRPr="009D2F88">
        <w:rPr>
          <w:sz w:val="28"/>
          <w:szCs w:val="28"/>
        </w:rPr>
        <w:t>ризнать утратившим силу решение Совета депутатов</w:t>
      </w:r>
      <w:r w:rsidR="00794B56" w:rsidRPr="009D2F88">
        <w:rPr>
          <w:b/>
          <w:sz w:val="28"/>
          <w:szCs w:val="28"/>
        </w:rPr>
        <w:t xml:space="preserve"> </w:t>
      </w:r>
      <w:r w:rsidR="009D2F88">
        <w:rPr>
          <w:sz w:val="28"/>
          <w:szCs w:val="28"/>
        </w:rPr>
        <w:t xml:space="preserve">от </w:t>
      </w:r>
      <w:r w:rsidR="009D2F88" w:rsidRPr="009D2F88">
        <w:rPr>
          <w:sz w:val="28"/>
          <w:szCs w:val="28"/>
        </w:rPr>
        <w:t>29</w:t>
      </w:r>
      <w:r w:rsidR="009D2F88">
        <w:rPr>
          <w:sz w:val="28"/>
          <w:szCs w:val="28"/>
        </w:rPr>
        <w:t xml:space="preserve"> ноября 2016 года</w:t>
      </w:r>
      <w:r w:rsidR="009D2F88" w:rsidRPr="009D2F88">
        <w:rPr>
          <w:sz w:val="28"/>
          <w:szCs w:val="28"/>
        </w:rPr>
        <w:t xml:space="preserve"> № 46</w:t>
      </w:r>
      <w:r w:rsidR="009D2F88">
        <w:rPr>
          <w:sz w:val="28"/>
          <w:szCs w:val="28"/>
        </w:rPr>
        <w:t xml:space="preserve"> «</w:t>
      </w:r>
      <w:r w:rsidR="009D2F88" w:rsidRPr="009D2F88">
        <w:rPr>
          <w:sz w:val="28"/>
          <w:szCs w:val="28"/>
        </w:rPr>
        <w:t xml:space="preserve">Об установлении и введении в действие земельного налога на территории муниципального образования «Кисельнинское сельское поселение» </w:t>
      </w:r>
      <w:r w:rsidR="009D2F88" w:rsidRPr="009D2F88">
        <w:rPr>
          <w:sz w:val="28"/>
          <w:szCs w:val="28"/>
        </w:rPr>
        <w:lastRenderedPageBreak/>
        <w:t>Волховского муниципального района Ленинградской области</w:t>
      </w:r>
      <w:r w:rsidR="009D2F88">
        <w:rPr>
          <w:sz w:val="28"/>
          <w:szCs w:val="28"/>
        </w:rPr>
        <w:t>»</w:t>
      </w:r>
      <w:r w:rsidR="00F72E35">
        <w:rPr>
          <w:sz w:val="28"/>
          <w:szCs w:val="28"/>
        </w:rPr>
        <w:t xml:space="preserve"> и внесённые в него изменения</w:t>
      </w:r>
      <w:r w:rsidR="009D2F88">
        <w:rPr>
          <w:sz w:val="28"/>
          <w:szCs w:val="28"/>
        </w:rPr>
        <w:t>.</w:t>
      </w:r>
      <w:r w:rsidR="009D2F88" w:rsidRPr="009D2F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86537E" w:rsidRDefault="009D2F88" w:rsidP="009D2F88">
      <w:pPr>
        <w:pStyle w:val="BodyText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B5E8E">
        <w:rPr>
          <w:sz w:val="28"/>
          <w:szCs w:val="28"/>
        </w:rPr>
        <w:t>8</w:t>
      </w:r>
      <w:r w:rsidR="0086537E">
        <w:rPr>
          <w:sz w:val="28"/>
          <w:szCs w:val="28"/>
        </w:rPr>
        <w:t xml:space="preserve">. </w:t>
      </w:r>
      <w:r w:rsidR="00FB5974" w:rsidRPr="00FB5974">
        <w:rPr>
          <w:sz w:val="28"/>
          <w:szCs w:val="28"/>
        </w:rPr>
        <w:t xml:space="preserve">Настоящее решение вступает в силу с 01 января 2019 года, но не ранее чем по истечении одного месяца со дня его официального опубликования в </w:t>
      </w:r>
      <w:r w:rsidR="00FB5974">
        <w:rPr>
          <w:sz w:val="28"/>
          <w:szCs w:val="28"/>
        </w:rPr>
        <w:t xml:space="preserve">газете «Волховские огни» и размещению на официальном сайте МО Кисельнинское сельское поселение </w:t>
      </w:r>
      <w:hyperlink r:id="rId9" w:history="1">
        <w:r w:rsidR="00FB5974">
          <w:rPr>
            <w:rStyle w:val="a3"/>
            <w:sz w:val="28"/>
            <w:szCs w:val="28"/>
          </w:rPr>
          <w:t>www.кисельня.рф</w:t>
        </w:r>
      </w:hyperlink>
      <w:r w:rsidR="00FB5974" w:rsidRPr="00FB5974">
        <w:rPr>
          <w:sz w:val="28"/>
          <w:szCs w:val="28"/>
        </w:rPr>
        <w:t xml:space="preserve"> и не ранее 1-го числа очередного налогового периода по данному налогу</w:t>
      </w:r>
      <w:r w:rsidR="00FB5974">
        <w:rPr>
          <w:sz w:val="28"/>
          <w:szCs w:val="28"/>
        </w:rPr>
        <w:t>.</w:t>
      </w:r>
    </w:p>
    <w:p w:rsidR="0086537E" w:rsidRDefault="00FB5974">
      <w:pPr>
        <w:pStyle w:val="BodyText2"/>
        <w:jc w:val="both"/>
      </w:pPr>
      <w:r>
        <w:rPr>
          <w:sz w:val="28"/>
          <w:szCs w:val="28"/>
        </w:rPr>
        <w:t xml:space="preserve">     </w:t>
      </w:r>
      <w:r w:rsidR="00FB5E8E">
        <w:rPr>
          <w:sz w:val="28"/>
          <w:szCs w:val="28"/>
        </w:rPr>
        <w:t>9</w:t>
      </w:r>
      <w:r w:rsidR="0086537E">
        <w:rPr>
          <w:sz w:val="28"/>
          <w:szCs w:val="28"/>
        </w:rPr>
        <w:t>. Контроль за исполнением настоящего решения возложить на постоянную депутатскую комиссию по бюджету, налогам и экономическим вопросам.</w:t>
      </w:r>
    </w:p>
    <w:p w:rsidR="0086537E" w:rsidRDefault="0086537E"/>
    <w:p w:rsidR="0086537E" w:rsidRDefault="0086537E"/>
    <w:p w:rsidR="0086537E" w:rsidRDefault="0086537E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</w:t>
      </w:r>
    </w:p>
    <w:p w:rsidR="0086537E" w:rsidRDefault="00CC3FDB">
      <w:r>
        <w:rPr>
          <w:sz w:val="28"/>
          <w:szCs w:val="28"/>
        </w:rPr>
        <w:t>«</w:t>
      </w:r>
      <w:r w:rsidR="0086537E">
        <w:rPr>
          <w:sz w:val="28"/>
          <w:szCs w:val="28"/>
        </w:rPr>
        <w:t>Кисельнинское сельское поселение</w:t>
      </w:r>
      <w:r>
        <w:rPr>
          <w:sz w:val="28"/>
          <w:szCs w:val="28"/>
        </w:rPr>
        <w:t>»</w:t>
      </w:r>
      <w:r w:rsidR="0086537E">
        <w:rPr>
          <w:sz w:val="28"/>
          <w:szCs w:val="28"/>
        </w:rPr>
        <w:t xml:space="preserve">                                                 О.В. Аверьянов </w:t>
      </w:r>
    </w:p>
    <w:sectPr w:rsidR="0086537E">
      <w:pgSz w:w="11906" w:h="16838"/>
      <w:pgMar w:top="1134" w:right="680" w:bottom="719" w:left="1247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868" w:rsidRDefault="00144868" w:rsidP="00D82C0F">
      <w:r>
        <w:separator/>
      </w:r>
    </w:p>
  </w:endnote>
  <w:endnote w:type="continuationSeparator" w:id="1">
    <w:p w:rsidR="00144868" w:rsidRDefault="00144868" w:rsidP="00D82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868" w:rsidRDefault="00144868" w:rsidP="00D82C0F">
      <w:r>
        <w:separator/>
      </w:r>
    </w:p>
  </w:footnote>
  <w:footnote w:type="continuationSeparator" w:id="1">
    <w:p w:rsidR="00144868" w:rsidRDefault="00144868" w:rsidP="00D82C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E54"/>
    <w:rsid w:val="000455D2"/>
    <w:rsid w:val="000E43B7"/>
    <w:rsid w:val="00144868"/>
    <w:rsid w:val="001C08B4"/>
    <w:rsid w:val="00236932"/>
    <w:rsid w:val="00257D1A"/>
    <w:rsid w:val="00397DC8"/>
    <w:rsid w:val="003D4906"/>
    <w:rsid w:val="003E4E54"/>
    <w:rsid w:val="0061767A"/>
    <w:rsid w:val="006C4D9E"/>
    <w:rsid w:val="006D2FA1"/>
    <w:rsid w:val="00783EBF"/>
    <w:rsid w:val="00794B56"/>
    <w:rsid w:val="007B2651"/>
    <w:rsid w:val="007D2D24"/>
    <w:rsid w:val="0086537E"/>
    <w:rsid w:val="009C1ADA"/>
    <w:rsid w:val="009D2F88"/>
    <w:rsid w:val="00C648DF"/>
    <w:rsid w:val="00C82E0B"/>
    <w:rsid w:val="00CC3FDB"/>
    <w:rsid w:val="00D82C0F"/>
    <w:rsid w:val="00E14151"/>
    <w:rsid w:val="00E15FA3"/>
    <w:rsid w:val="00E80A88"/>
    <w:rsid w:val="00F678D2"/>
    <w:rsid w:val="00F72E35"/>
    <w:rsid w:val="00FB5974"/>
    <w:rsid w:val="00FB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Body Text Indent"/>
    <w:basedOn w:val="a"/>
    <w:pPr>
      <w:ind w:left="1365"/>
    </w:pPr>
  </w:style>
  <w:style w:type="paragraph" w:customStyle="1" w:styleId="BodyText2">
    <w:name w:val="Body Text 2"/>
    <w:basedOn w:val="a"/>
    <w:pPr>
      <w:jc w:val="center"/>
    </w:pPr>
    <w:rPr>
      <w:szCs w:val="20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D82C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82C0F"/>
    <w:rPr>
      <w:sz w:val="24"/>
      <w:szCs w:val="24"/>
      <w:lang w:eastAsia="ar-SA"/>
    </w:rPr>
  </w:style>
  <w:style w:type="paragraph" w:styleId="ab">
    <w:name w:val="footer"/>
    <w:basedOn w:val="a"/>
    <w:link w:val="ac"/>
    <w:rsid w:val="00D82C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82C0F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5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0FAD0EA9F6394FAE2BC4CC742E2229EA51BBF3277389E397732B11024E726B156BDDD594D50FF6P6u9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82;&#1080;&#1089;&#1077;&#1083;&#1100;&#1085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5754</CharactersWithSpaces>
  <SharedDoc>false</SharedDoc>
  <HLinks>
    <vt:vector size="12" baseType="variant">
      <vt:variant>
        <vt:i4>71042078</vt:i4>
      </vt:variant>
      <vt:variant>
        <vt:i4>3</vt:i4>
      </vt:variant>
      <vt:variant>
        <vt:i4>0</vt:i4>
      </vt:variant>
      <vt:variant>
        <vt:i4>5</vt:i4>
      </vt:variant>
      <vt:variant>
        <vt:lpwstr>http://www.кисельня.рф/</vt:lpwstr>
      </vt:variant>
      <vt:variant>
        <vt:lpwstr/>
      </vt:variant>
      <vt:variant>
        <vt:i4>8061036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consultantplus://offline/ref=C70FAD0EA9F6394FAE2BC4CC742E2229EA51BBF3277389E397732B11024E726B156BDDD594D50FF6P6u9F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Egorova</dc:creator>
  <cp:keywords/>
  <cp:lastModifiedBy>Admin</cp:lastModifiedBy>
  <cp:revision>2</cp:revision>
  <cp:lastPrinted>2018-12-17T12:39:00Z</cp:lastPrinted>
  <dcterms:created xsi:type="dcterms:W3CDTF">2019-01-11T13:25:00Z</dcterms:created>
  <dcterms:modified xsi:type="dcterms:W3CDTF">2019-01-11T13:25:00Z</dcterms:modified>
</cp:coreProperties>
</file>