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B9" w:rsidRDefault="00F237B9" w:rsidP="00F237B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Вопросы - ответы по дополнительной ежемесячной выплате семьям с детьми до трёх лет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Могут ли опекуны подать заявление на ежемесячную выплату?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могут. Но для этого нужно подать заявление лично в территориальный орган ПФР или МФЦ.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Кто из родителей может подать заявление на ежемесячную выплату?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наличии сертификата на материнский капитал заявление должен подать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владелец сертификата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Могу ли я подать заявление в Пенсионный фонд не по месту прописки?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До какого числа можно подать заявление на выплату 5 тысяч рублей? 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по всем каналам до 1 октября</w:t>
      </w:r>
      <w:r>
        <w:rPr>
          <w:rFonts w:ascii="Tms Rmn" w:hAnsi="Tms Rmn" w:cs="Tms Rmn"/>
          <w:color w:val="000000"/>
          <w:sz w:val="24"/>
          <w:szCs w:val="24"/>
        </w:rPr>
        <w:t xml:space="preserve"> текущего года. Выплаты будут предоставлены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 все месяцы с апреля по июнь при наличии у семьи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соответствующего права.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За какой период поступит ежемесячная выплата? 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Средства предоставляются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каждого ребенка раз в месяц в период с апреля по июнь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2020 года. При подаче заявления после 30 июня денежные средства выплатят единовременно за весь период.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 меня двое детей в возрасте до трех лет. Нужно ли мне писать заявление на каждого ребенка?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можно.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Как я могу узнать, назначили мне выплату или нет?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заявление подано через личный кабинет на сайте ПФР или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то уведомление о статусе рассмотрения заявления появится там же.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“Хочу получать уведомления о ходе предоставления запрошенных услуг”.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положительном решении, обратившись в орган ПФР, где было подано заявление, по телефону.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На что важно обратить внимание при подаче заявления?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- помощь оказывается гражданам Российской Федерации. Если лицо утратило гражданство РФ, выплата не осуществляется;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- в заявлении необходимо указать данные именно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банковского счета</w:t>
      </w:r>
      <w:r>
        <w:rPr>
          <w:rFonts w:ascii="Tms Rmn" w:hAnsi="Tms Rmn" w:cs="Tms Rmn"/>
          <w:color w:val="000000"/>
          <w:sz w:val="24"/>
          <w:szCs w:val="24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 осуществляется в следующих ситуациях: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лишении или ограничении заявителя родительских прав в отношении ребенка;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случае смерти ребенка, в связи с рождением которого возникло право на ежемесячную выплату;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- при предоставлении недостоверных сведений.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В случае одобрения </w:t>
      </w: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заявления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каким образом я смогу получить средства?</w:t>
      </w:r>
    </w:p>
    <w:p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D7190D" w:rsidRDefault="00D7190D" w:rsidP="00D7190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F237B9" w:rsidRP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F237B9">
        <w:rPr>
          <w:rFonts w:ascii="Times New Roman" w:hAnsi="Times New Roman" w:cs="Times New Roman"/>
          <w:color w:val="000000"/>
          <w:sz w:val="24"/>
          <w:szCs w:val="24"/>
        </w:rPr>
        <w:t xml:space="preserve">клиентской службы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237B9">
        <w:rPr>
          <w:rFonts w:ascii="Times New Roman" w:hAnsi="Times New Roman" w:cs="Times New Roman"/>
          <w:color w:val="000000"/>
          <w:sz w:val="24"/>
          <w:szCs w:val="24"/>
        </w:rPr>
        <w:t>Юдина Н.С.</w:t>
      </w:r>
    </w:p>
    <w:sectPr w:rsidR="00F237B9" w:rsidRPr="00F237B9" w:rsidSect="00D719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A4E"/>
    <w:rsid w:val="00141B0C"/>
    <w:rsid w:val="008D2A4E"/>
    <w:rsid w:val="009C23BC"/>
    <w:rsid w:val="00D7190D"/>
    <w:rsid w:val="00E00B54"/>
    <w:rsid w:val="00F237B9"/>
    <w:rsid w:val="00F3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dcterms:created xsi:type="dcterms:W3CDTF">2020-05-26T13:46:00Z</dcterms:created>
  <dcterms:modified xsi:type="dcterms:W3CDTF">2020-05-26T13:46:00Z</dcterms:modified>
</cp:coreProperties>
</file>