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5F0E2B">
      <w:pPr>
        <w:rPr>
          <w:sz w:val="24"/>
          <w:szCs w:val="24"/>
        </w:rPr>
      </w:pP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D1000A">
        <w:rPr>
          <w:sz w:val="24"/>
          <w:szCs w:val="24"/>
        </w:rP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</w:t>
      </w:r>
      <w:proofErr w:type="gramEnd"/>
      <w:r w:rsidRPr="00D1000A">
        <w:rPr>
          <w:sz w:val="24"/>
          <w:szCs w:val="24"/>
        </w:rPr>
        <w:t xml:space="preserve"> </w:t>
      </w:r>
      <w:proofErr w:type="gramStart"/>
      <w:r w:rsidRPr="00D1000A">
        <w:rPr>
          <w:sz w:val="24"/>
          <w:szCs w:val="24"/>
        </w:rPr>
        <w:t>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</w:t>
      </w:r>
      <w:proofErr w:type="gramEnd"/>
      <w:r w:rsidRPr="00D1000A">
        <w:rPr>
          <w:sz w:val="24"/>
          <w:szCs w:val="24"/>
        </w:rPr>
        <w:t xml:space="preserve"> его супруги (супруга) за три последних года, предшествующих отчетному периоду.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При этом</w:t>
      </w:r>
      <w:proofErr w:type="gramStart"/>
      <w:r w:rsidRPr="00D1000A">
        <w:rPr>
          <w:sz w:val="24"/>
          <w:szCs w:val="24"/>
        </w:rPr>
        <w:t>,</w:t>
      </w:r>
      <w:proofErr w:type="gramEnd"/>
      <w:r w:rsidRPr="00D1000A">
        <w:rPr>
          <w:sz w:val="24"/>
          <w:szCs w:val="24"/>
        </w:rPr>
        <w:t xml:space="preserve">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В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имущество.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Принятию решения о проведении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имущество.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При этом</w:t>
      </w:r>
      <w:proofErr w:type="gramStart"/>
      <w:r w:rsidRPr="00D1000A">
        <w:rPr>
          <w:sz w:val="24"/>
          <w:szCs w:val="24"/>
        </w:rPr>
        <w:t>,</w:t>
      </w:r>
      <w:proofErr w:type="gramEnd"/>
      <w:r w:rsidRPr="00D1000A">
        <w:rPr>
          <w:sz w:val="24"/>
          <w:szCs w:val="24"/>
        </w:rPr>
        <w:t xml:space="preserve"> наличие достаточности должно определяться в каждом случае индивидуально к сложившейся ситуации.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доходам.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В частности, например, кредитные обязательства в раздел 1 справки не включаются, но их следует учитывать при определении такого соответствия.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С другой стороны, </w:t>
      </w:r>
      <w:proofErr w:type="spellStart"/>
      <w:r w:rsidRPr="00D1000A">
        <w:rPr>
          <w:sz w:val="24"/>
          <w:szCs w:val="24"/>
        </w:rPr>
        <w:t>незаполнение</w:t>
      </w:r>
      <w:proofErr w:type="spellEnd"/>
      <w:r w:rsidRPr="00D1000A">
        <w:rPr>
          <w:sz w:val="24"/>
          <w:szCs w:val="24"/>
        </w:rPr>
        <w:t xml:space="preserve">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</w:t>
      </w:r>
      <w:proofErr w:type="gramStart"/>
      <w:r w:rsidRPr="00D1000A">
        <w:rPr>
          <w:sz w:val="24"/>
          <w:szCs w:val="24"/>
        </w:rPr>
        <w:t>контроле за</w:t>
      </w:r>
      <w:proofErr w:type="gramEnd"/>
      <w:r w:rsidRPr="00D1000A">
        <w:rPr>
          <w:sz w:val="24"/>
          <w:szCs w:val="24"/>
        </w:rPr>
        <w:t xml:space="preserve"> расходами.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Ключевым параметром достаточности, на наш взгляд, является выявление несоответствия указанных в справках за соответствующие периоды сведений о полученных доходах, под которыми в данном случае следует понимать любые средства, приобретенные законным путем.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Также следует иметь ввиду, что главной целью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является проверка достоверности и полноты представленных сведений (пункт 2 части 4 статьи 4 Федерального закона от 03.12.2012 № 230-ФЗ). Поэтому имеющаяся информация о сокрытии приобретенных объектов имущества, об очевидной занижении стоимости такого имущества либо о завышении (фиктивном получении) сумм доходов также указывает на несоответствие доходов расходам и может служить основанием для осуществления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расходами.</w:t>
      </w:r>
    </w:p>
    <w:p w:rsidR="00DA7DB5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При таких обстоятельствах в ходе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:rsidR="00D13170" w:rsidRPr="000D489E" w:rsidRDefault="00D13170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62181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2022-05-27T13:03:00Z</cp:lastPrinted>
  <dcterms:created xsi:type="dcterms:W3CDTF">2022-05-27T13:03:00Z</dcterms:created>
  <dcterms:modified xsi:type="dcterms:W3CDTF">2022-05-27T13:05:00Z</dcterms:modified>
</cp:coreProperties>
</file>